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14" w:rsidRPr="006675FB" w:rsidRDefault="001C4985">
      <w:pPr>
        <w:ind w:firstLine="709"/>
        <w:jc w:val="center"/>
        <w:rPr>
          <w:b/>
          <w:sz w:val="22"/>
        </w:rPr>
      </w:pPr>
      <w:r w:rsidRPr="006675FB">
        <w:rPr>
          <w:b/>
          <w:sz w:val="22"/>
        </w:rPr>
        <w:t>СОГЛАШЕНИЕ № БН</w:t>
      </w:r>
    </w:p>
    <w:p w:rsidR="00132014" w:rsidRPr="006675FB" w:rsidRDefault="001C4985">
      <w:pPr>
        <w:ind w:firstLine="709"/>
        <w:jc w:val="center"/>
        <w:rPr>
          <w:b/>
          <w:sz w:val="22"/>
        </w:rPr>
      </w:pPr>
      <w:r w:rsidRPr="006675FB">
        <w:rPr>
          <w:b/>
          <w:sz w:val="22"/>
        </w:rPr>
        <w:t>о социальном сотрудничестве</w:t>
      </w:r>
    </w:p>
    <w:p w:rsidR="00132014" w:rsidRPr="006675FB" w:rsidRDefault="001C4985">
      <w:pPr>
        <w:ind w:firstLine="709"/>
        <w:jc w:val="both"/>
        <w:rPr>
          <w:b/>
          <w:sz w:val="22"/>
        </w:rPr>
      </w:pPr>
      <w:r w:rsidRPr="006675FB">
        <w:rPr>
          <w:b/>
          <w:sz w:val="22"/>
        </w:rPr>
        <w:t xml:space="preserve"> </w:t>
      </w:r>
      <w:r w:rsidRPr="006675FB">
        <w:rPr>
          <w:sz w:val="22"/>
        </w:rPr>
        <w:t>г. Томск                                                                                                   "          "                20          г.</w:t>
      </w:r>
    </w:p>
    <w:p w:rsidR="00132014" w:rsidRPr="006675FB" w:rsidRDefault="00132014">
      <w:pPr>
        <w:ind w:firstLine="709"/>
        <w:jc w:val="both"/>
        <w:rPr>
          <w:b/>
          <w:sz w:val="22"/>
        </w:rPr>
      </w:pPr>
    </w:p>
    <w:p w:rsidR="00132014" w:rsidRPr="006675FB" w:rsidRDefault="001C4985">
      <w:pPr>
        <w:ind w:firstLine="709"/>
        <w:jc w:val="both"/>
        <w:rPr>
          <w:sz w:val="22"/>
        </w:rPr>
      </w:pPr>
      <w:r w:rsidRPr="006675FB">
        <w:rPr>
          <w:sz w:val="22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в лице ректора Власова Виктора Алексеевича, действующего на основании Устава, именуемый в дальнейшем «ТГАСУ», с одной стороны, </w:t>
      </w:r>
    </w:p>
    <w:p w:rsidR="00132014" w:rsidRPr="006675FB" w:rsidRDefault="001C4985">
      <w:pPr>
        <w:jc w:val="both"/>
        <w:rPr>
          <w:sz w:val="22"/>
        </w:rPr>
      </w:pPr>
      <w:r w:rsidRPr="006675FB">
        <w:rPr>
          <w:sz w:val="22"/>
        </w:rPr>
        <w:t>и</w:t>
      </w:r>
      <w:proofErr w:type="gramStart"/>
      <w:r w:rsidRPr="006675FB">
        <w:rPr>
          <w:sz w:val="22"/>
        </w:rPr>
        <w:t xml:space="preserve"> </w:t>
      </w:r>
      <w:r w:rsidRPr="006675FB">
        <w:rPr>
          <w:bCs/>
          <w:sz w:val="22"/>
          <w:u w:val="single"/>
        </w:rPr>
        <w:t xml:space="preserve">                                                                                                                                                       </w:t>
      </w:r>
      <w:r w:rsidRPr="006675FB">
        <w:rPr>
          <w:bCs/>
          <w:sz w:val="22"/>
        </w:rPr>
        <w:t>,</w:t>
      </w:r>
      <w:proofErr w:type="gramEnd"/>
      <w:r w:rsidRPr="006675FB">
        <w:rPr>
          <w:bCs/>
          <w:sz w:val="22"/>
        </w:rPr>
        <w:t xml:space="preserve"> </w:t>
      </w:r>
      <w:r w:rsidRPr="006675FB">
        <w:rPr>
          <w:sz w:val="22"/>
        </w:rPr>
        <w:t xml:space="preserve">именуемое в дальнейшем «Предприятие», в лице </w:t>
      </w:r>
      <w:r w:rsidRPr="006675FB">
        <w:rPr>
          <w:sz w:val="22"/>
          <w:u w:val="single"/>
        </w:rPr>
        <w:t xml:space="preserve">                                   </w:t>
      </w:r>
      <w:r w:rsidRPr="006675FB">
        <w:rPr>
          <w:sz w:val="22"/>
        </w:rPr>
        <w:t xml:space="preserve"> _______________ действующего на основании ______________________________ с другой стороны, заключили соглашение о нижеследующем:</w:t>
      </w:r>
    </w:p>
    <w:p w:rsidR="00132014" w:rsidRPr="006675FB" w:rsidRDefault="00132014">
      <w:pPr>
        <w:ind w:firstLine="709"/>
        <w:jc w:val="both"/>
        <w:rPr>
          <w:sz w:val="22"/>
        </w:rPr>
      </w:pPr>
    </w:p>
    <w:p w:rsidR="00132014" w:rsidRPr="006675FB" w:rsidRDefault="001C4985">
      <w:pPr>
        <w:numPr>
          <w:ilvl w:val="0"/>
          <w:numId w:val="1"/>
        </w:numPr>
        <w:shd w:val="clear" w:color="auto" w:fill="FFFFFF"/>
        <w:ind w:left="0" w:firstLine="709"/>
        <w:jc w:val="center"/>
        <w:rPr>
          <w:b/>
          <w:bCs/>
          <w:sz w:val="22"/>
        </w:rPr>
      </w:pPr>
      <w:r w:rsidRPr="006675FB">
        <w:rPr>
          <w:b/>
          <w:bCs/>
          <w:color w:val="000000"/>
          <w:spacing w:val="-7"/>
          <w:sz w:val="22"/>
        </w:rPr>
        <w:t>ЦЕЛЬ СОГЛАШЕНИЯ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 xml:space="preserve">Целью настоящего соглашения является социальное партнерство между ТГАСУ и Предприятием в сфере содействия занятости студентов и трудоустройству выпускников ТГАСУ по направлениям подготовки (специальностям), </w:t>
      </w:r>
      <w:r w:rsidR="00D81DD3">
        <w:rPr>
          <w:sz w:val="22"/>
          <w:lang w:val="ru-RU"/>
        </w:rPr>
        <w:t>к</w:t>
      </w:r>
      <w:r w:rsidRPr="006675FB">
        <w:rPr>
          <w:sz w:val="22"/>
          <w:lang w:val="ru-RU"/>
        </w:rPr>
        <w:t>оторые будут указаны в официальных заявках от предприятия.</w:t>
      </w:r>
    </w:p>
    <w:p w:rsidR="00132014" w:rsidRPr="006675FB" w:rsidRDefault="00132014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</w:p>
    <w:p w:rsidR="00132014" w:rsidRPr="006675FB" w:rsidRDefault="001C4985">
      <w:pPr>
        <w:numPr>
          <w:ilvl w:val="0"/>
          <w:numId w:val="3"/>
        </w:numPr>
        <w:shd w:val="clear" w:color="auto" w:fill="FFFFFF"/>
        <w:ind w:left="0" w:firstLine="709"/>
        <w:jc w:val="center"/>
        <w:rPr>
          <w:b/>
          <w:bCs/>
          <w:color w:val="000000"/>
          <w:spacing w:val="-7"/>
          <w:sz w:val="22"/>
        </w:rPr>
      </w:pPr>
      <w:r w:rsidRPr="006675FB">
        <w:rPr>
          <w:b/>
          <w:bCs/>
          <w:color w:val="000000"/>
          <w:spacing w:val="-7"/>
          <w:sz w:val="22"/>
        </w:rPr>
        <w:t>ПРАВА И ОБЯЗАННОСТИ СТОРОН</w:t>
      </w:r>
    </w:p>
    <w:p w:rsidR="00132014" w:rsidRPr="006675FB" w:rsidRDefault="001C4985">
      <w:pPr>
        <w:shd w:val="clear" w:color="auto" w:fill="FFFFFF"/>
        <w:ind w:firstLine="709"/>
        <w:jc w:val="both"/>
        <w:rPr>
          <w:b/>
          <w:bCs/>
          <w:color w:val="000000"/>
          <w:spacing w:val="-7"/>
          <w:sz w:val="22"/>
        </w:rPr>
      </w:pPr>
      <w:r w:rsidRPr="006675FB">
        <w:rPr>
          <w:b/>
          <w:bCs/>
          <w:color w:val="000000"/>
          <w:spacing w:val="-7"/>
          <w:sz w:val="22"/>
        </w:rPr>
        <w:t xml:space="preserve">2.1. Права и обязанности </w:t>
      </w:r>
      <w:r w:rsidRPr="006675FB">
        <w:rPr>
          <w:b/>
          <w:color w:val="000000"/>
          <w:sz w:val="22"/>
        </w:rPr>
        <w:t>ТГАСУ</w:t>
      </w:r>
      <w:r w:rsidRPr="006675FB">
        <w:rPr>
          <w:b/>
          <w:bCs/>
          <w:color w:val="000000"/>
          <w:spacing w:val="-7"/>
          <w:sz w:val="22"/>
        </w:rPr>
        <w:t>: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2.1.1. На основании Закона «Об образовании в РФ», Закона «О занятости населения в Российской Федерации», Трудового кодекса РФ содействовать удовлетворению потребностей Предприятия в квалифицированных кадрах по заявкам Предприятия.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2.1.2.</w:t>
      </w:r>
      <w:r w:rsidRPr="006675FB">
        <w:rPr>
          <w:sz w:val="22"/>
          <w:lang w:val="ru-RU"/>
        </w:rPr>
        <w:tab/>
        <w:t>Совместно с уполномоченным сотрудником Предприятия принимать участие в отборе и мониторинге студентов, ориентированных на работу на Предприятии.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2.1.3. Уведомлять Предприятие о проведении ярмарок вакансий, презентаций выпускников соответствующих специальностей, профессиональных конкурсах и других мероприятиях, организуемых Университетом, направленных на содействие занятости и трудоустройству выпускников.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2.1.4. Приглашать специалистов Предприятия на совещания и круглые столы по проблемам обеспечения занятости и востребованности выпускников высших учебных заведений на современном и перспективном рынке труда.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 xml:space="preserve">2.1.5. Размещать поступившую в ТГАСУ </w:t>
      </w:r>
      <w:proofErr w:type="spellStart"/>
      <w:r w:rsidRPr="006675FB">
        <w:rPr>
          <w:sz w:val="22"/>
          <w:lang w:val="ru-RU"/>
        </w:rPr>
        <w:t>профориентационную</w:t>
      </w:r>
      <w:proofErr w:type="spellEnd"/>
      <w:r w:rsidRPr="006675FB">
        <w:rPr>
          <w:sz w:val="22"/>
          <w:lang w:val="ru-RU"/>
        </w:rPr>
        <w:t>, в том числе по актуальным вакансиям Предприятия, информацию на стендах кафедр, осуществляющих подготовку кадров по соответствующим специальностям и направлениям, сайте университета (www.tsuab.ru); индивидуально информировать выпускников-соискателей о возможностях трудоустройства на Предприятии.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2.1.6.</w:t>
      </w:r>
      <w:r w:rsidRPr="006675FB">
        <w:rPr>
          <w:sz w:val="22"/>
          <w:lang w:val="ru-RU"/>
        </w:rPr>
        <w:tab/>
        <w:t xml:space="preserve">Предоставлять время и аудитории для проведения сотрудниками Предприятия </w:t>
      </w:r>
      <w:proofErr w:type="spellStart"/>
      <w:r w:rsidRPr="006675FB">
        <w:rPr>
          <w:sz w:val="22"/>
          <w:lang w:val="ru-RU"/>
        </w:rPr>
        <w:t>профориентационных</w:t>
      </w:r>
      <w:proofErr w:type="spellEnd"/>
      <w:r w:rsidRPr="006675FB">
        <w:rPr>
          <w:sz w:val="22"/>
          <w:lang w:val="ru-RU"/>
        </w:rPr>
        <w:t xml:space="preserve"> мероприятий, направленных на информирование студентов о перспективах работы на Предприятии по предварительному согласованию даты и времени.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 xml:space="preserve">2.1.7.Осуществлять информационную поддержку </w:t>
      </w:r>
      <w:proofErr w:type="spellStart"/>
      <w:r w:rsidRPr="006675FB">
        <w:rPr>
          <w:sz w:val="22"/>
          <w:lang w:val="ru-RU"/>
        </w:rPr>
        <w:t>профориентационных</w:t>
      </w:r>
      <w:proofErr w:type="spellEnd"/>
      <w:r w:rsidRPr="006675FB">
        <w:rPr>
          <w:sz w:val="22"/>
          <w:lang w:val="ru-RU"/>
        </w:rPr>
        <w:t xml:space="preserve"> мероприятий, организуемых Предприятием на его территории, с целью привлечения молодых кадров из числа студентов и выпускников ТГАСУ, в том числе экскурсий, ярмарок вакансий, профессиональных конкурсов и акций, обучающих программ.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2.1.8. В соответствии с официальными заявками Предприятия направлять студентов и выпускников ТГАСУ соответствующих специальностей и направлений подготовки для трудоустройства, по своим личностным и профессиональным качествам удовлетворяющих предъявляемым к кандидату требованиям.</w:t>
      </w:r>
    </w:p>
    <w:p w:rsidR="00132014" w:rsidRPr="006675FB" w:rsidRDefault="001C4985">
      <w:pPr>
        <w:pStyle w:val="24"/>
        <w:spacing w:after="0" w:line="240" w:lineRule="auto"/>
        <w:ind w:left="0" w:firstLine="709"/>
        <w:jc w:val="both"/>
        <w:rPr>
          <w:sz w:val="22"/>
          <w:lang w:val="ru-RU"/>
        </w:rPr>
      </w:pPr>
      <w:r w:rsidRPr="006675FB">
        <w:rPr>
          <w:sz w:val="22"/>
          <w:lang w:val="ru-RU"/>
        </w:rPr>
        <w:t>2.1.9. В соответствии с поручениями Президента РФ, рекомендациями Департамента государственной политики в сфере высшего образования, Министерства образования и науки РФ запрашивать у Предприятия информацию о трудоустроенных студентах и выпускниках ТГАСУ, их профессиональном и карьерном росте.</w:t>
      </w:r>
    </w:p>
    <w:p w:rsidR="00132014" w:rsidRPr="006675FB" w:rsidRDefault="001C4985">
      <w:pPr>
        <w:shd w:val="clear" w:color="auto" w:fill="FFFFFF"/>
        <w:ind w:firstLine="709"/>
        <w:jc w:val="both"/>
        <w:rPr>
          <w:b/>
          <w:bCs/>
          <w:color w:val="000000"/>
          <w:spacing w:val="-1"/>
          <w:sz w:val="22"/>
        </w:rPr>
      </w:pPr>
      <w:r w:rsidRPr="006675FB">
        <w:rPr>
          <w:b/>
          <w:bCs/>
          <w:color w:val="000000"/>
          <w:spacing w:val="-1"/>
          <w:sz w:val="22"/>
        </w:rPr>
        <w:t>2.2. Права и обязанности Предприятия:</w:t>
      </w:r>
    </w:p>
    <w:p w:rsidR="00132014" w:rsidRPr="006675FB" w:rsidRDefault="001C4985">
      <w:pPr>
        <w:shd w:val="clear" w:color="auto" w:fill="FFFFFF"/>
        <w:ind w:firstLine="709"/>
        <w:jc w:val="both"/>
        <w:rPr>
          <w:bCs/>
          <w:color w:val="000000"/>
          <w:spacing w:val="-1"/>
          <w:sz w:val="22"/>
        </w:rPr>
      </w:pPr>
      <w:r w:rsidRPr="006675FB">
        <w:rPr>
          <w:bCs/>
          <w:color w:val="000000"/>
          <w:spacing w:val="-1"/>
          <w:sz w:val="22"/>
        </w:rPr>
        <w:t xml:space="preserve">2.2.1. Вести </w:t>
      </w:r>
      <w:proofErr w:type="spellStart"/>
      <w:r w:rsidRPr="006675FB">
        <w:rPr>
          <w:bCs/>
          <w:color w:val="000000"/>
          <w:spacing w:val="-1"/>
          <w:sz w:val="22"/>
        </w:rPr>
        <w:t>профориентационную</w:t>
      </w:r>
      <w:proofErr w:type="spellEnd"/>
      <w:r w:rsidRPr="006675FB">
        <w:rPr>
          <w:bCs/>
          <w:color w:val="000000"/>
          <w:spacing w:val="-1"/>
          <w:sz w:val="22"/>
        </w:rPr>
        <w:t xml:space="preserve"> работу среди студентов </w:t>
      </w:r>
      <w:r w:rsidRPr="006675FB">
        <w:rPr>
          <w:color w:val="000000"/>
          <w:sz w:val="22"/>
        </w:rPr>
        <w:t>ТГАСУ</w:t>
      </w:r>
      <w:r w:rsidRPr="006675FB">
        <w:rPr>
          <w:bCs/>
          <w:color w:val="000000"/>
          <w:spacing w:val="-1"/>
          <w:sz w:val="22"/>
        </w:rPr>
        <w:t xml:space="preserve"> по востребованным специальностям и направлениям подготовки с целью содействия их занятости и трудоустройству на Предприятии.</w:t>
      </w:r>
    </w:p>
    <w:p w:rsidR="00132014" w:rsidRPr="006675FB" w:rsidRDefault="001C4985">
      <w:pPr>
        <w:pStyle w:val="32"/>
        <w:spacing w:after="0"/>
        <w:ind w:left="0" w:firstLine="709"/>
        <w:jc w:val="both"/>
        <w:rPr>
          <w:sz w:val="22"/>
          <w:szCs w:val="22"/>
          <w:lang w:val="ru-RU"/>
        </w:rPr>
      </w:pPr>
      <w:r w:rsidRPr="006675FB">
        <w:rPr>
          <w:sz w:val="22"/>
          <w:szCs w:val="22"/>
          <w:lang w:val="ru-RU"/>
        </w:rPr>
        <w:t xml:space="preserve">2.2.2. По предварительному согласованию с </w:t>
      </w:r>
      <w:r w:rsidRPr="006675FB">
        <w:rPr>
          <w:color w:val="000000"/>
          <w:sz w:val="22"/>
          <w:szCs w:val="22"/>
          <w:lang w:val="ru-RU"/>
        </w:rPr>
        <w:t>ТГАСУ</w:t>
      </w:r>
      <w:r w:rsidRPr="006675FB">
        <w:rPr>
          <w:sz w:val="22"/>
          <w:szCs w:val="22"/>
          <w:lang w:val="ru-RU"/>
        </w:rPr>
        <w:t xml:space="preserve"> проводить профориентационные мероприятия, направленные на информирование студентов о перспективах работы на Предприятии. </w:t>
      </w:r>
    </w:p>
    <w:p w:rsidR="00132014" w:rsidRPr="006675FB" w:rsidRDefault="001C4985">
      <w:pPr>
        <w:shd w:val="clear" w:color="auto" w:fill="FFFFFF"/>
        <w:tabs>
          <w:tab w:val="left" w:pos="0"/>
          <w:tab w:val="left" w:pos="540"/>
          <w:tab w:val="left" w:pos="720"/>
        </w:tabs>
        <w:ind w:firstLine="709"/>
        <w:jc w:val="both"/>
        <w:rPr>
          <w:sz w:val="22"/>
        </w:rPr>
      </w:pPr>
      <w:r w:rsidRPr="006675FB">
        <w:rPr>
          <w:sz w:val="22"/>
        </w:rPr>
        <w:t xml:space="preserve">2.2.3. Направлять по уведомлению </w:t>
      </w:r>
      <w:r w:rsidRPr="006675FB">
        <w:rPr>
          <w:color w:val="000000"/>
          <w:sz w:val="22"/>
        </w:rPr>
        <w:t>ТГАСУ</w:t>
      </w:r>
      <w:r w:rsidRPr="006675FB">
        <w:rPr>
          <w:sz w:val="22"/>
        </w:rPr>
        <w:t xml:space="preserve"> специалистов Предприятия для участия в ярмарках вакансий, презентаций выпускников соответствующих специальностей и направлений подготовки, других мероприятиях, организуемых Университетом, с целью содействия занятости студентов и трудоустройству выпускников.</w:t>
      </w:r>
    </w:p>
    <w:p w:rsidR="00132014" w:rsidRPr="006675FB" w:rsidRDefault="001C4985">
      <w:pPr>
        <w:shd w:val="clear" w:color="auto" w:fill="FFFFFF"/>
        <w:tabs>
          <w:tab w:val="left" w:pos="0"/>
          <w:tab w:val="left" w:pos="540"/>
          <w:tab w:val="left" w:pos="720"/>
        </w:tabs>
        <w:ind w:firstLine="709"/>
        <w:jc w:val="both"/>
        <w:rPr>
          <w:sz w:val="22"/>
        </w:rPr>
      </w:pPr>
      <w:r w:rsidRPr="006675FB">
        <w:rPr>
          <w:sz w:val="22"/>
        </w:rPr>
        <w:t xml:space="preserve">2.2.4. Содействовать </w:t>
      </w:r>
      <w:r w:rsidRPr="006675FB">
        <w:rPr>
          <w:color w:val="000000"/>
          <w:sz w:val="22"/>
        </w:rPr>
        <w:t>ТГАСУ</w:t>
      </w:r>
      <w:r w:rsidRPr="006675FB">
        <w:rPr>
          <w:sz w:val="22"/>
        </w:rPr>
        <w:t xml:space="preserve"> в организации и проведению экскурсий на базе подразделений Предприятия.</w:t>
      </w:r>
    </w:p>
    <w:p w:rsidR="00132014" w:rsidRPr="006675FB" w:rsidRDefault="001C4985">
      <w:pPr>
        <w:shd w:val="clear" w:color="auto" w:fill="FFFFFF"/>
        <w:tabs>
          <w:tab w:val="left" w:pos="0"/>
          <w:tab w:val="left" w:pos="540"/>
          <w:tab w:val="left" w:pos="720"/>
        </w:tabs>
        <w:ind w:firstLine="709"/>
        <w:jc w:val="both"/>
        <w:rPr>
          <w:sz w:val="22"/>
        </w:rPr>
      </w:pPr>
      <w:r w:rsidRPr="006675FB">
        <w:rPr>
          <w:sz w:val="22"/>
        </w:rPr>
        <w:lastRenderedPageBreak/>
        <w:t xml:space="preserve">2.2.5. По предварительному согласованию с </w:t>
      </w:r>
      <w:r w:rsidRPr="006675FB">
        <w:rPr>
          <w:color w:val="000000"/>
          <w:sz w:val="22"/>
        </w:rPr>
        <w:t>ТГАСУ</w:t>
      </w:r>
      <w:r w:rsidRPr="006675FB">
        <w:rPr>
          <w:sz w:val="22"/>
        </w:rPr>
        <w:t xml:space="preserve"> проводить мастер-классы, обучающие семинары для студентов </w:t>
      </w:r>
      <w:r w:rsidRPr="006675FB">
        <w:rPr>
          <w:color w:val="000000"/>
          <w:sz w:val="22"/>
        </w:rPr>
        <w:t>ТГАСУ</w:t>
      </w:r>
      <w:r w:rsidRPr="006675FB">
        <w:rPr>
          <w:sz w:val="22"/>
        </w:rPr>
        <w:t xml:space="preserve"> соответствующих специальностей и направлений подготовки с целью формирования у них необходимых профессиональных навыков и компетенций, востребованных на Предприятии.</w:t>
      </w:r>
    </w:p>
    <w:p w:rsidR="00132014" w:rsidRPr="006675FB" w:rsidRDefault="001C4985">
      <w:pPr>
        <w:shd w:val="clear" w:color="auto" w:fill="FFFFFF"/>
        <w:tabs>
          <w:tab w:val="left" w:pos="0"/>
          <w:tab w:val="left" w:pos="540"/>
          <w:tab w:val="left" w:pos="720"/>
        </w:tabs>
        <w:ind w:firstLine="709"/>
        <w:jc w:val="both"/>
        <w:rPr>
          <w:sz w:val="22"/>
        </w:rPr>
      </w:pPr>
      <w:r w:rsidRPr="006675FB">
        <w:rPr>
          <w:sz w:val="22"/>
        </w:rPr>
        <w:t>2.2.6. При наличии вакантных рабочих мест, открытых для молодых специалистов на Предприятии, регулярно предоставля</w:t>
      </w:r>
      <w:r w:rsidR="00D81DD3">
        <w:rPr>
          <w:sz w:val="22"/>
        </w:rPr>
        <w:t xml:space="preserve">ть данную информацию в ТГАСУ по </w:t>
      </w:r>
      <w:r w:rsidRPr="006675FB">
        <w:rPr>
          <w:sz w:val="22"/>
        </w:rPr>
        <w:t xml:space="preserve">телефону 8 (3822) </w:t>
      </w:r>
      <w:r w:rsidR="00D81DD3" w:rsidRPr="00D81DD3">
        <w:rPr>
          <w:sz w:val="22"/>
        </w:rPr>
        <w:t>65-09-24</w:t>
      </w:r>
      <w:r w:rsidRPr="006675FB">
        <w:rPr>
          <w:sz w:val="22"/>
        </w:rPr>
        <w:t>, e-</w:t>
      </w:r>
      <w:proofErr w:type="spellStart"/>
      <w:r w:rsidRPr="006675FB">
        <w:rPr>
          <w:sz w:val="22"/>
        </w:rPr>
        <w:t>mail</w:t>
      </w:r>
      <w:proofErr w:type="spellEnd"/>
      <w:r w:rsidRPr="006675FB">
        <w:rPr>
          <w:sz w:val="22"/>
        </w:rPr>
        <w:t xml:space="preserve">: </w:t>
      </w:r>
      <w:r w:rsidRPr="006675FB">
        <w:rPr>
          <w:sz w:val="22"/>
          <w:lang w:val="en-US"/>
        </w:rPr>
        <w:t>career</w:t>
      </w:r>
      <w:r w:rsidRPr="006675FB">
        <w:rPr>
          <w:sz w:val="22"/>
        </w:rPr>
        <w:t>@</w:t>
      </w:r>
      <w:proofErr w:type="spellStart"/>
      <w:r w:rsidRPr="006675FB">
        <w:rPr>
          <w:sz w:val="22"/>
          <w:lang w:val="en-US"/>
        </w:rPr>
        <w:t>tsuab</w:t>
      </w:r>
      <w:proofErr w:type="spellEnd"/>
      <w:r w:rsidRPr="006675FB">
        <w:rPr>
          <w:sz w:val="22"/>
        </w:rPr>
        <w:t>.</w:t>
      </w:r>
      <w:proofErr w:type="spellStart"/>
      <w:r w:rsidRPr="006675FB">
        <w:rPr>
          <w:sz w:val="22"/>
          <w:lang w:val="en-US"/>
        </w:rPr>
        <w:t>ru</w:t>
      </w:r>
      <w:proofErr w:type="spellEnd"/>
      <w:r w:rsidRPr="006675FB">
        <w:rPr>
          <w:sz w:val="22"/>
        </w:rPr>
        <w:t>.</w:t>
      </w:r>
    </w:p>
    <w:p w:rsidR="00132014" w:rsidRPr="006675FB" w:rsidRDefault="001C4985">
      <w:pPr>
        <w:shd w:val="clear" w:color="auto" w:fill="FFFFFF"/>
        <w:tabs>
          <w:tab w:val="left" w:pos="0"/>
          <w:tab w:val="left" w:pos="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sz w:val="22"/>
        </w:rPr>
        <w:t>2.2.7. В соответствии с официальными заявками на подбор специалиста, поступившими в ТГАСУ от Предприятия, рассматривать вопрос о возможности  трудоустройства на Предприятии выпускников ТГАСУ</w:t>
      </w:r>
      <w:r w:rsidRPr="006675FB">
        <w:rPr>
          <w:color w:val="000000"/>
          <w:sz w:val="22"/>
        </w:rPr>
        <w:t>, по своим личностным и профессиональным качествам удовлетворяющих предъявляемым к кандидату требованиям.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2.2.8. По запросу ТГАСУ предоставлять информацию о трудоустроенных студентах и выпускниках ТГАСУ, их профессиональном и карьерном росте.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2.2.9. Принимать участие в социологических опросах работодателей, организуемых ТГАСУ, с целью оценки качества подготовки выпускников университета, выявления наиболее значимых социальных проблем взаимодействия профессиональных учебных заведений и организаций в вопросах подготовки квалифицированных кадров, обеспечения качества трудоустройства молодых специалистов и адаптации их к рынку труда.</w:t>
      </w:r>
    </w:p>
    <w:p w:rsidR="00132014" w:rsidRPr="006675FB" w:rsidRDefault="00132014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b/>
          <w:bCs/>
          <w:color w:val="000000"/>
          <w:spacing w:val="-1"/>
          <w:sz w:val="22"/>
        </w:rPr>
      </w:pPr>
    </w:p>
    <w:p w:rsidR="00132014" w:rsidRPr="006675FB" w:rsidRDefault="001C4985">
      <w:pPr>
        <w:numPr>
          <w:ilvl w:val="0"/>
          <w:numId w:val="3"/>
        </w:numPr>
        <w:shd w:val="clear" w:color="auto" w:fill="FFFFFF"/>
        <w:tabs>
          <w:tab w:val="left" w:pos="-540"/>
          <w:tab w:val="left" w:pos="720"/>
        </w:tabs>
        <w:jc w:val="center"/>
        <w:rPr>
          <w:b/>
          <w:color w:val="000000"/>
          <w:sz w:val="22"/>
        </w:rPr>
      </w:pPr>
      <w:r w:rsidRPr="006675FB">
        <w:rPr>
          <w:b/>
          <w:color w:val="000000"/>
          <w:sz w:val="22"/>
        </w:rPr>
        <w:t xml:space="preserve">СРОК ДЕЙСТВИЯ СОГЛАШЕНИЯ, 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left="502"/>
        <w:jc w:val="center"/>
        <w:rPr>
          <w:b/>
          <w:color w:val="000000"/>
          <w:sz w:val="22"/>
        </w:rPr>
      </w:pPr>
      <w:r w:rsidRPr="006675FB">
        <w:rPr>
          <w:b/>
          <w:color w:val="000000"/>
          <w:sz w:val="22"/>
        </w:rPr>
        <w:t>ПОРЯДОК ЕГО ИЗМЕНЕНИЯ И РАСТОРЖЕНИЯ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3.1. Настоящее соглашение составлено в двух экземплярах. Оба экземпляра идентичны и имеют одинаковую силу. У каждой из сторон находится один экземпляр настоящего соглашения.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3.2. Соглашение вступает в силу с момента подписания его сторонами и носит бессрочный характер.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3.3. Настоящее соглашение может быть расторгнуто любой из сторон в одностороннем внесудебном порядке путём направления другой стороне уведомления о его расторжении.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 xml:space="preserve">3.4. Настоящее соглашение является социально направленным, безвозмездным и добровольным для каждой из сторон. </w:t>
      </w:r>
    </w:p>
    <w:p w:rsidR="00132014" w:rsidRPr="006675FB" w:rsidRDefault="001C4985">
      <w:pPr>
        <w:shd w:val="clear" w:color="auto" w:fill="FFFFFF"/>
        <w:tabs>
          <w:tab w:val="left" w:pos="-540"/>
          <w:tab w:val="left" w:pos="720"/>
        </w:tabs>
        <w:ind w:firstLine="709"/>
        <w:jc w:val="both"/>
        <w:rPr>
          <w:color w:val="000000"/>
          <w:sz w:val="22"/>
        </w:rPr>
      </w:pPr>
      <w:r w:rsidRPr="006675FB">
        <w:rPr>
          <w:color w:val="000000"/>
          <w:sz w:val="22"/>
        </w:rPr>
        <w:t>3.5. Все изменения и дополнения к настоящему соглашению должны быть сделаны в письменной форме и подписаны сторонами.</w:t>
      </w:r>
    </w:p>
    <w:p w:rsidR="00132014" w:rsidRPr="006675FB" w:rsidRDefault="00132014">
      <w:pPr>
        <w:shd w:val="clear" w:color="auto" w:fill="FFFFFF"/>
        <w:tabs>
          <w:tab w:val="left" w:pos="-540"/>
          <w:tab w:val="left" w:pos="720"/>
        </w:tabs>
        <w:jc w:val="both"/>
        <w:rPr>
          <w:color w:val="000000"/>
          <w:sz w:val="22"/>
        </w:rPr>
      </w:pPr>
    </w:p>
    <w:p w:rsidR="00132014" w:rsidRPr="006675FB" w:rsidRDefault="001C4985">
      <w:pPr>
        <w:numPr>
          <w:ilvl w:val="0"/>
          <w:numId w:val="2"/>
        </w:numPr>
        <w:ind w:left="0" w:firstLine="709"/>
        <w:jc w:val="center"/>
        <w:rPr>
          <w:b/>
          <w:sz w:val="22"/>
        </w:rPr>
      </w:pPr>
      <w:r w:rsidRPr="006675FB">
        <w:rPr>
          <w:b/>
          <w:sz w:val="22"/>
        </w:rPr>
        <w:t>АДРЕСА СТОРОН</w:t>
      </w:r>
    </w:p>
    <w:tbl>
      <w:tblPr>
        <w:tblW w:w="10480" w:type="dxa"/>
        <w:tblInd w:w="-34" w:type="dxa"/>
        <w:tblLook w:val="04A0" w:firstRow="1" w:lastRow="0" w:firstColumn="1" w:lastColumn="0" w:noHBand="0" w:noVBand="1"/>
      </w:tblPr>
      <w:tblGrid>
        <w:gridCol w:w="4710"/>
        <w:gridCol w:w="5770"/>
      </w:tblGrid>
      <w:tr w:rsidR="00132014" w:rsidRPr="006675FB">
        <w:trPr>
          <w:trHeight w:val="412"/>
        </w:trPr>
        <w:tc>
          <w:tcPr>
            <w:tcW w:w="4710" w:type="dxa"/>
            <w:shd w:val="clear" w:color="auto" w:fill="auto"/>
          </w:tcPr>
          <w:p w:rsidR="00132014" w:rsidRPr="006675FB" w:rsidRDefault="001C4985">
            <w:pPr>
              <w:ind w:firstLine="709"/>
              <w:jc w:val="center"/>
              <w:rPr>
                <w:b/>
                <w:sz w:val="22"/>
              </w:rPr>
            </w:pPr>
            <w:r w:rsidRPr="006675FB">
              <w:rPr>
                <w:b/>
                <w:sz w:val="22"/>
              </w:rPr>
              <w:t>УНИВЕРСИТЕТ</w:t>
            </w:r>
          </w:p>
          <w:p w:rsidR="00132014" w:rsidRPr="006675FB" w:rsidRDefault="001C4985">
            <w:pPr>
              <w:ind w:firstLine="709"/>
              <w:jc w:val="center"/>
              <w:rPr>
                <w:b/>
                <w:sz w:val="22"/>
              </w:rPr>
            </w:pPr>
            <w:r w:rsidRPr="006675FB">
              <w:rPr>
                <w:sz w:val="22"/>
              </w:rPr>
              <w:t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</w:t>
            </w:r>
          </w:p>
          <w:p w:rsidR="00132014" w:rsidRPr="006675FB" w:rsidRDefault="00132014">
            <w:pPr>
              <w:ind w:firstLine="709"/>
              <w:rPr>
                <w:sz w:val="22"/>
              </w:rPr>
            </w:pP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634003, г. Томск, пл. </w:t>
            </w:r>
            <w:proofErr w:type="gramStart"/>
            <w:r w:rsidRPr="006675FB">
              <w:rPr>
                <w:sz w:val="22"/>
              </w:rPr>
              <w:t>Соляная</w:t>
            </w:r>
            <w:proofErr w:type="gramEnd"/>
            <w:r w:rsidRPr="006675FB">
              <w:rPr>
                <w:sz w:val="22"/>
              </w:rPr>
              <w:t xml:space="preserve">, 2, </w:t>
            </w:r>
          </w:p>
          <w:p w:rsidR="00132014" w:rsidRPr="006675FB" w:rsidRDefault="001C4985">
            <w:pPr>
              <w:ind w:firstLine="709"/>
              <w:rPr>
                <w:color w:val="000000"/>
                <w:sz w:val="22"/>
              </w:rPr>
            </w:pPr>
            <w:r w:rsidRPr="006675FB">
              <w:rPr>
                <w:sz w:val="22"/>
              </w:rPr>
              <w:t xml:space="preserve">тел: (83822) </w:t>
            </w:r>
            <w:r w:rsidR="00AE63E4">
              <w:rPr>
                <w:color w:val="000000"/>
                <w:sz w:val="22"/>
              </w:rPr>
              <w:t>65-09-24</w:t>
            </w:r>
            <w:bookmarkStart w:id="0" w:name="_GoBack"/>
            <w:bookmarkEnd w:id="0"/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УФК по Томской области 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(ТГАСУ, л/с 20656У75640) 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proofErr w:type="gramStart"/>
            <w:r w:rsidRPr="006675FB">
              <w:rPr>
                <w:sz w:val="22"/>
              </w:rPr>
              <w:t>Р</w:t>
            </w:r>
            <w:proofErr w:type="gramEnd"/>
            <w:r w:rsidRPr="006675FB">
              <w:rPr>
                <w:sz w:val="22"/>
              </w:rPr>
              <w:t>/</w:t>
            </w:r>
            <w:proofErr w:type="spellStart"/>
            <w:r w:rsidRPr="006675FB">
              <w:rPr>
                <w:sz w:val="22"/>
              </w:rPr>
              <w:t>сч</w:t>
            </w:r>
            <w:proofErr w:type="spellEnd"/>
            <w:r w:rsidRPr="006675FB">
              <w:rPr>
                <w:sz w:val="22"/>
              </w:rPr>
              <w:t xml:space="preserve"> 0321463000000016500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>ОКПО 69701000</w:t>
            </w:r>
          </w:p>
        </w:tc>
        <w:tc>
          <w:tcPr>
            <w:tcW w:w="5769" w:type="dxa"/>
            <w:shd w:val="clear" w:color="auto" w:fill="auto"/>
          </w:tcPr>
          <w:p w:rsidR="00132014" w:rsidRPr="006675FB" w:rsidRDefault="001C4985">
            <w:pPr>
              <w:ind w:firstLine="709"/>
              <w:rPr>
                <w:b/>
                <w:sz w:val="22"/>
              </w:rPr>
            </w:pPr>
            <w:r w:rsidRPr="006675FB">
              <w:rPr>
                <w:b/>
                <w:sz w:val="22"/>
              </w:rPr>
              <w:t>ПРЕДПРИЯТИЕ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bCs/>
                <w:sz w:val="22"/>
              </w:rPr>
              <w:t>Название:</w:t>
            </w:r>
          </w:p>
          <w:p w:rsidR="00132014" w:rsidRPr="006675FB" w:rsidRDefault="00132014">
            <w:pPr>
              <w:ind w:firstLine="709"/>
              <w:rPr>
                <w:sz w:val="22"/>
              </w:rPr>
            </w:pPr>
          </w:p>
          <w:p w:rsidR="00132014" w:rsidRPr="006675FB" w:rsidRDefault="00132014">
            <w:pPr>
              <w:rPr>
                <w:sz w:val="22"/>
              </w:rPr>
            </w:pPr>
          </w:p>
          <w:p w:rsidR="00132014" w:rsidRPr="006675FB" w:rsidRDefault="00132014">
            <w:pPr>
              <w:rPr>
                <w:sz w:val="22"/>
              </w:rPr>
            </w:pP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>Адрес: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sz w:val="22"/>
              </w:rPr>
              <w:t xml:space="preserve">ИНН 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bCs/>
                <w:sz w:val="22"/>
              </w:rPr>
              <w:t xml:space="preserve">КПП 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ОГРН 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sz w:val="22"/>
              </w:rPr>
              <w:t xml:space="preserve">ОКПО 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bCs/>
                <w:sz w:val="22"/>
              </w:rPr>
              <w:t xml:space="preserve">ОКВЭД 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bCs/>
                <w:sz w:val="22"/>
              </w:rPr>
              <w:t xml:space="preserve">БИК </w:t>
            </w:r>
          </w:p>
          <w:p w:rsidR="00132014" w:rsidRPr="006675FB" w:rsidRDefault="00132014">
            <w:pPr>
              <w:ind w:firstLine="709"/>
              <w:rPr>
                <w:bCs/>
                <w:sz w:val="22"/>
              </w:rPr>
            </w:pP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bCs/>
                <w:sz w:val="22"/>
              </w:rPr>
              <w:t>Контактный телефон:</w:t>
            </w:r>
          </w:p>
          <w:p w:rsidR="00132014" w:rsidRPr="006675FB" w:rsidRDefault="001C4985">
            <w:pPr>
              <w:ind w:firstLine="709"/>
              <w:rPr>
                <w:bCs/>
                <w:sz w:val="22"/>
              </w:rPr>
            </w:pPr>
            <w:r w:rsidRPr="006675FB">
              <w:rPr>
                <w:bCs/>
                <w:sz w:val="22"/>
                <w:lang w:val="en-US"/>
              </w:rPr>
              <w:t>email</w:t>
            </w:r>
            <w:r w:rsidRPr="006675FB">
              <w:rPr>
                <w:bCs/>
                <w:sz w:val="22"/>
              </w:rPr>
              <w:t>:</w:t>
            </w:r>
            <w:r w:rsidRPr="006675FB">
              <w:rPr>
                <w:sz w:val="22"/>
              </w:rPr>
              <w:tab/>
            </w:r>
          </w:p>
        </w:tc>
      </w:tr>
      <w:tr w:rsidR="00132014" w:rsidRPr="006675FB">
        <w:trPr>
          <w:trHeight w:val="964"/>
        </w:trPr>
        <w:tc>
          <w:tcPr>
            <w:tcW w:w="4710" w:type="dxa"/>
            <w:shd w:val="clear" w:color="auto" w:fill="auto"/>
          </w:tcPr>
          <w:p w:rsidR="00132014" w:rsidRPr="006675FB" w:rsidRDefault="001C4985">
            <w:pPr>
              <w:rPr>
                <w:sz w:val="22"/>
              </w:rPr>
            </w:pPr>
            <w:r w:rsidRPr="006675FB">
              <w:rPr>
                <w:sz w:val="22"/>
              </w:rPr>
              <w:t xml:space="preserve">           Ректор 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>____________________ В.А. Власов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                      (подпись)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>М.П.</w:t>
            </w:r>
          </w:p>
        </w:tc>
        <w:tc>
          <w:tcPr>
            <w:tcW w:w="5769" w:type="dxa"/>
            <w:shd w:val="clear" w:color="auto" w:fill="auto"/>
          </w:tcPr>
          <w:p w:rsidR="00132014" w:rsidRPr="006675FB" w:rsidRDefault="00132014">
            <w:pPr>
              <w:rPr>
                <w:sz w:val="22"/>
              </w:rPr>
            </w:pP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_______________________ 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 xml:space="preserve">                      (подпись)</w:t>
            </w:r>
          </w:p>
          <w:p w:rsidR="00132014" w:rsidRPr="006675FB" w:rsidRDefault="001C4985">
            <w:pPr>
              <w:ind w:firstLine="709"/>
              <w:rPr>
                <w:sz w:val="22"/>
              </w:rPr>
            </w:pPr>
            <w:r w:rsidRPr="006675FB">
              <w:rPr>
                <w:sz w:val="22"/>
              </w:rPr>
              <w:t>М.П.</w:t>
            </w:r>
          </w:p>
        </w:tc>
      </w:tr>
    </w:tbl>
    <w:p w:rsidR="00132014" w:rsidRPr="006675FB" w:rsidRDefault="00132014">
      <w:pPr>
        <w:shd w:val="clear" w:color="auto" w:fill="FFFFFF"/>
        <w:rPr>
          <w:sz w:val="22"/>
        </w:rPr>
      </w:pPr>
    </w:p>
    <w:sectPr w:rsidR="00132014" w:rsidRPr="006675FB">
      <w:headerReference w:type="default" r:id="rId8"/>
      <w:footerReference w:type="default" r:id="rId9"/>
      <w:pgSz w:w="11906" w:h="16838"/>
      <w:pgMar w:top="766" w:right="720" w:bottom="777" w:left="851" w:header="709" w:footer="72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CF" w:rsidRDefault="009A53CF">
      <w:r>
        <w:separator/>
      </w:r>
    </w:p>
  </w:endnote>
  <w:endnote w:type="continuationSeparator" w:id="0">
    <w:p w:rsidR="009A53CF" w:rsidRDefault="009A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Arial"/>
    <w:charset w:val="CC"/>
    <w:family w:val="roman"/>
    <w:pitch w:val="variable"/>
    <w:sig w:usb0="00000001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14" w:rsidRDefault="0013201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CF" w:rsidRDefault="009A53CF">
      <w:r>
        <w:separator/>
      </w:r>
    </w:p>
  </w:footnote>
  <w:footnote w:type="continuationSeparator" w:id="0">
    <w:p w:rsidR="009A53CF" w:rsidRDefault="009A5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14" w:rsidRDefault="00132014">
    <w:pPr>
      <w:pStyle w:val="af2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B2C"/>
    <w:multiLevelType w:val="multilevel"/>
    <w:tmpl w:val="8552FFE0"/>
    <w:lvl w:ilvl="0">
      <w:start w:val="1"/>
      <w:numFmt w:val="decimal"/>
      <w:lvlText w:val="%1. "/>
      <w:lvlJc w:val="left"/>
      <w:pPr>
        <w:ind w:left="425" w:hanging="283"/>
      </w:pPr>
      <w:rPr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3E6085"/>
    <w:multiLevelType w:val="multilevel"/>
    <w:tmpl w:val="2EA4907E"/>
    <w:lvl w:ilvl="0">
      <w:start w:val="4"/>
      <w:numFmt w:val="decimal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8F29C5"/>
    <w:multiLevelType w:val="multilevel"/>
    <w:tmpl w:val="6B3C5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7F7CAC"/>
    <w:multiLevelType w:val="multilevel"/>
    <w:tmpl w:val="64D22B56"/>
    <w:lvl w:ilvl="0">
      <w:start w:val="2"/>
      <w:numFmt w:val="decimal"/>
      <w:lvlText w:val="%1."/>
      <w:lvlJc w:val="left"/>
      <w:pPr>
        <w:ind w:left="502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4"/>
    <w:rsid w:val="00132014"/>
    <w:rsid w:val="001C4985"/>
    <w:rsid w:val="006675FB"/>
    <w:rsid w:val="009A53CF"/>
    <w:rsid w:val="00AA58E8"/>
    <w:rsid w:val="00AB2715"/>
    <w:rsid w:val="00AE63E4"/>
    <w:rsid w:val="00D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ar-SA" w:bidi="ar-SA"/>
    </w:rPr>
  </w:style>
  <w:style w:type="paragraph" w:styleId="1">
    <w:name w:val="heading 1"/>
    <w:basedOn w:val="a"/>
    <w:uiPriority w:val="9"/>
    <w:qFormat/>
    <w:pPr>
      <w:keepNext/>
      <w:keepLines/>
      <w:shd w:val="clear" w:color="auto" w:fill="FFFFFF"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  <w:rPr>
      <w:rFonts w:ascii="Times New Roman" w:hAnsi="Times New Roman"/>
      <w:b w:val="0"/>
      <w:i w:val="0"/>
      <w:sz w:val="22"/>
      <w:szCs w:val="22"/>
      <w:u w:val="none"/>
    </w:rPr>
  </w:style>
  <w:style w:type="character" w:customStyle="1" w:styleId="WW8Num2z0">
    <w:name w:val="WW8Num2z0"/>
    <w:qFormat/>
    <w:rPr>
      <w:b/>
    </w:rPr>
  </w:style>
  <w:style w:type="character" w:customStyle="1" w:styleId="WW8Num3z1">
    <w:name w:val="WW8Num3z1"/>
    <w:qFormat/>
    <w:rPr>
      <w:b w:val="0"/>
    </w:rPr>
  </w:style>
  <w:style w:type="character" w:customStyle="1" w:styleId="WW8Num4z1">
    <w:name w:val="WW8Num4z1"/>
    <w:qFormat/>
    <w:rPr>
      <w:b w:val="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3z0">
    <w:name w:val="WW8Num3z0"/>
    <w:qFormat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qFormat/>
    <w:rPr>
      <w:rFonts w:ascii="Times New Roman" w:hAnsi="Times New Roman"/>
      <w:b/>
      <w:i w:val="0"/>
      <w:sz w:val="24"/>
      <w:szCs w:val="24"/>
      <w:u w:val="none"/>
    </w:rPr>
  </w:style>
  <w:style w:type="character" w:customStyle="1" w:styleId="WW8Num5z0">
    <w:name w:val="WW8Num5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6z0">
    <w:name w:val="WW8Num6z0"/>
    <w:qFormat/>
    <w:rPr>
      <w:rFonts w:ascii="Times New Roman" w:hAnsi="Times New Roman"/>
      <w:b w:val="0"/>
      <w:i w:val="0"/>
      <w:sz w:val="20"/>
      <w:szCs w:val="20"/>
      <w:u w:val="none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9z1">
    <w:name w:val="WW8Num9z1"/>
    <w:qFormat/>
    <w:rPr>
      <w:b w:val="0"/>
    </w:rPr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ascii="Times New Roman" w:hAnsi="Times New Roman"/>
      <w:b w:val="0"/>
      <w:i w:val="0"/>
      <w:sz w:val="22"/>
      <w:szCs w:val="22"/>
      <w:u w:val="none"/>
    </w:rPr>
  </w:style>
  <w:style w:type="character" w:customStyle="1" w:styleId="WW8Num12z1">
    <w:name w:val="WW8Num12z1"/>
    <w:qFormat/>
    <w:rPr>
      <w:b w:val="0"/>
    </w:rPr>
  </w:style>
  <w:style w:type="character" w:customStyle="1" w:styleId="WW8Num13z0">
    <w:name w:val="WW8Num13z0"/>
    <w:qFormat/>
    <w:rPr>
      <w:b/>
    </w:rPr>
  </w:style>
  <w:style w:type="character" w:customStyle="1" w:styleId="WW8Num14z1">
    <w:name w:val="WW8Num14z1"/>
    <w:qFormat/>
    <w:rPr>
      <w:b w:val="0"/>
      <w:sz w:val="24"/>
      <w:szCs w:val="24"/>
    </w:rPr>
  </w:style>
  <w:style w:type="character" w:customStyle="1" w:styleId="WW8Num14z2">
    <w:name w:val="WW8Num14z2"/>
    <w:qFormat/>
    <w:rPr>
      <w:sz w:val="24"/>
      <w:szCs w:val="24"/>
    </w:rPr>
  </w:style>
  <w:style w:type="character" w:customStyle="1" w:styleId="WW8Num15z0">
    <w:name w:val="WW8Num15z0"/>
    <w:qFormat/>
    <w:rPr>
      <w:b/>
    </w:rPr>
  </w:style>
  <w:style w:type="character" w:customStyle="1" w:styleId="WW8Num17z1">
    <w:name w:val="WW8Num17z1"/>
    <w:qFormat/>
    <w:rPr>
      <w:b w:val="0"/>
    </w:rPr>
  </w:style>
  <w:style w:type="character" w:customStyle="1" w:styleId="WW8Num18z0">
    <w:name w:val="WW8Num18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19z0">
    <w:name w:val="WW8Num19z0"/>
    <w:qFormat/>
    <w:rPr>
      <w:b/>
    </w:rPr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styleId="a5">
    <w:name w:val="Hyperlink"/>
    <w:qFormat/>
    <w:rPr>
      <w:color w:val="0000FF"/>
      <w:u w:val="single"/>
    </w:rPr>
  </w:style>
  <w:style w:type="character" w:styleId="a6">
    <w:name w:val="FollowedHyperlink"/>
    <w:qFormat/>
    <w:rPr>
      <w:color w:val="800080"/>
      <w:u w:val="single"/>
    </w:rPr>
  </w:style>
  <w:style w:type="character" w:customStyle="1" w:styleId="20">
    <w:name w:val="Основной текст с отступом 2 Знак"/>
    <w:qFormat/>
    <w:rPr>
      <w:sz w:val="28"/>
      <w:lang w:eastAsia="ar-SA"/>
    </w:rPr>
  </w:style>
  <w:style w:type="character" w:customStyle="1" w:styleId="21">
    <w:name w:val="Основной текст 2 Знак"/>
    <w:semiHidden/>
    <w:qFormat/>
    <w:rPr>
      <w:sz w:val="28"/>
      <w:lang w:eastAsia="ar-SA"/>
    </w:rPr>
  </w:style>
  <w:style w:type="character" w:customStyle="1" w:styleId="30">
    <w:name w:val="Основной текст с отступом 3 Знак"/>
    <w:semiHidden/>
    <w:qFormat/>
    <w:rPr>
      <w:sz w:val="16"/>
      <w:szCs w:val="16"/>
      <w:lang w:eastAsia="ar-SA"/>
    </w:rPr>
  </w:style>
  <w:style w:type="character" w:customStyle="1" w:styleId="a7">
    <w:name w:val="Текст выноски Знак"/>
    <w:semiHidden/>
    <w:qFormat/>
    <w:rPr>
      <w:rFonts w:ascii="Tahoma" w:hAnsi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2"/>
      <w:szCs w:val="22"/>
      <w:u w:val="none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b w:val="0"/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b/>
      <w:sz w:val="24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b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sz w:val="24"/>
    </w:rPr>
  </w:style>
  <w:style w:type="character" w:customStyle="1" w:styleId="ListLabel74">
    <w:name w:val="ListLabel 74"/>
    <w:qFormat/>
    <w:rPr>
      <w:b/>
      <w:sz w:val="24"/>
    </w:rPr>
  </w:style>
  <w:style w:type="character" w:customStyle="1" w:styleId="ListLabel75">
    <w:name w:val="ListLabel 75"/>
    <w:qFormat/>
    <w:rPr>
      <w:b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b/>
      <w:sz w:val="24"/>
    </w:rPr>
  </w:style>
  <w:style w:type="character" w:customStyle="1" w:styleId="ListLabel85">
    <w:name w:val="ListLabel 85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widowControl w:val="0"/>
      <w:shd w:val="clear" w:color="auto" w:fill="FFFFFF"/>
      <w:spacing w:before="240" w:after="120"/>
    </w:pPr>
    <w:rPr>
      <w:rFonts w:ascii="Arial" w:eastAsia="Arial Unicode MS" w:hAnsi="Arial"/>
      <w:szCs w:val="28"/>
      <w:lang w:eastAsia="en-US" w:bidi="en-US"/>
    </w:rPr>
  </w:style>
  <w:style w:type="paragraph" w:styleId="a9">
    <w:name w:val="Body Text"/>
    <w:basedOn w:val="a"/>
    <w:pPr>
      <w:widowControl w:val="0"/>
      <w:shd w:val="clear" w:color="auto" w:fill="FFFFFF"/>
      <w:jc w:val="both"/>
    </w:pPr>
    <w:rPr>
      <w:sz w:val="24"/>
      <w:lang w:eastAsia="en-US" w:bidi="en-US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  <w:shd w:val="clear" w:color="auto" w:fill="FFFFFF"/>
    </w:pPr>
    <w:rPr>
      <w:rFonts w:ascii="PT Astra Serif" w:hAnsi="PT Astra Serif" w:cs="Noto Sans Devanagari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No Spacing"/>
    <w:uiPriority w:val="1"/>
    <w:qFormat/>
  </w:style>
  <w:style w:type="paragraph" w:styleId="af">
    <w:name w:val="Title"/>
    <w:basedOn w:val="a"/>
    <w:uiPriority w:val="10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uiPriority w:val="29"/>
    <w:qFormat/>
    <w:pPr>
      <w:ind w:left="720" w:right="720"/>
    </w:pPr>
    <w:rPr>
      <w:i/>
    </w:rPr>
  </w:style>
  <w:style w:type="paragraph" w:styleId="af1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pPr>
      <w:widowControl w:val="0"/>
      <w:shd w:val="clear" w:color="auto" w:fill="FFFFFF"/>
      <w:tabs>
        <w:tab w:val="center" w:pos="4153"/>
        <w:tab w:val="right" w:pos="8306"/>
      </w:tabs>
    </w:pPr>
    <w:rPr>
      <w:sz w:val="20"/>
      <w:lang w:eastAsia="en-US" w:bidi="en-US"/>
    </w:rPr>
  </w:style>
  <w:style w:type="paragraph" w:styleId="af3">
    <w:name w:val="footer"/>
    <w:basedOn w:val="a"/>
    <w:pPr>
      <w:widowControl w:val="0"/>
      <w:shd w:val="clear" w:color="auto" w:fill="FFFFFF"/>
      <w:tabs>
        <w:tab w:val="center" w:pos="4677"/>
        <w:tab w:val="right" w:pos="9355"/>
      </w:tabs>
    </w:pPr>
    <w:rPr>
      <w:sz w:val="20"/>
      <w:lang w:eastAsia="en-US" w:bidi="en-US"/>
    </w:rPr>
  </w:style>
  <w:style w:type="paragraph" w:styleId="af4">
    <w:name w:val="footnote text"/>
    <w:basedOn w:val="a"/>
    <w:uiPriority w:val="99"/>
    <w:semiHidden/>
    <w:unhideWhenUsed/>
    <w:pPr>
      <w:shd w:val="clear" w:color="auto" w:fill="FFFFFF"/>
      <w:spacing w:after="40"/>
    </w:pPr>
    <w:rPr>
      <w:sz w:val="18"/>
    </w:rPr>
  </w:style>
  <w:style w:type="paragraph" w:styleId="11">
    <w:name w:val="toc 1"/>
    <w:basedOn w:val="a"/>
    <w:uiPriority w:val="39"/>
    <w:unhideWhenUsed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pPr>
      <w:shd w:val="clear" w:color="auto" w:fill="FFFFFF"/>
      <w:spacing w:after="57"/>
      <w:ind w:left="283"/>
    </w:pPr>
  </w:style>
  <w:style w:type="paragraph" w:styleId="31">
    <w:name w:val="toc 3"/>
    <w:basedOn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pPr>
      <w:shd w:val="clear" w:color="auto" w:fill="FFFFFF"/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customStyle="1" w:styleId="12">
    <w:name w:val="Название1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25">
    <w:name w:val="Body Text 2"/>
    <w:basedOn w:val="a"/>
    <w:semiHidden/>
    <w:qFormat/>
    <w:pPr>
      <w:spacing w:after="120" w:line="480" w:lineRule="auto"/>
    </w:pPr>
    <w:rPr>
      <w:lang w:val="en-US"/>
    </w:rPr>
  </w:style>
  <w:style w:type="paragraph" w:styleId="32">
    <w:name w:val="Body Text Indent 3"/>
    <w:basedOn w:val="a"/>
    <w:semiHidden/>
    <w:qFormat/>
    <w:pPr>
      <w:spacing w:after="120"/>
      <w:ind w:left="283"/>
    </w:pPr>
    <w:rPr>
      <w:sz w:val="16"/>
      <w:szCs w:val="16"/>
      <w:lang w:val="en-US"/>
    </w:rPr>
  </w:style>
  <w:style w:type="paragraph" w:styleId="af8">
    <w:name w:val="Balloon Text"/>
    <w:basedOn w:val="a"/>
    <w:semiHidden/>
    <w:qFormat/>
    <w:rPr>
      <w:rFonts w:ascii="Tahoma" w:hAnsi="Tahoma"/>
      <w:sz w:val="16"/>
      <w:szCs w:val="16"/>
      <w:lang w:val="en-US"/>
    </w:rPr>
  </w:style>
  <w:style w:type="table" w:styleId="af9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ar-SA" w:bidi="ar-SA"/>
    </w:rPr>
  </w:style>
  <w:style w:type="paragraph" w:styleId="1">
    <w:name w:val="heading 1"/>
    <w:basedOn w:val="a"/>
    <w:uiPriority w:val="9"/>
    <w:qFormat/>
    <w:pPr>
      <w:keepNext/>
      <w:keepLines/>
      <w:shd w:val="clear" w:color="auto" w:fill="FFFFFF"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  <w:rPr>
      <w:rFonts w:ascii="Times New Roman" w:hAnsi="Times New Roman"/>
      <w:b w:val="0"/>
      <w:i w:val="0"/>
      <w:sz w:val="22"/>
      <w:szCs w:val="22"/>
      <w:u w:val="none"/>
    </w:rPr>
  </w:style>
  <w:style w:type="character" w:customStyle="1" w:styleId="WW8Num2z0">
    <w:name w:val="WW8Num2z0"/>
    <w:qFormat/>
    <w:rPr>
      <w:b/>
    </w:rPr>
  </w:style>
  <w:style w:type="character" w:customStyle="1" w:styleId="WW8Num3z1">
    <w:name w:val="WW8Num3z1"/>
    <w:qFormat/>
    <w:rPr>
      <w:b w:val="0"/>
    </w:rPr>
  </w:style>
  <w:style w:type="character" w:customStyle="1" w:styleId="WW8Num4z1">
    <w:name w:val="WW8Num4z1"/>
    <w:qFormat/>
    <w:rPr>
      <w:b w:val="0"/>
      <w:sz w:val="24"/>
      <w:szCs w:val="24"/>
    </w:rPr>
  </w:style>
  <w:style w:type="character" w:customStyle="1" w:styleId="WW8Num4z2">
    <w:name w:val="WW8Num4z2"/>
    <w:qFormat/>
    <w:rPr>
      <w:sz w:val="24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3z0">
    <w:name w:val="WW8Num3z0"/>
    <w:qFormat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qFormat/>
    <w:rPr>
      <w:rFonts w:ascii="Times New Roman" w:hAnsi="Times New Roman"/>
      <w:b/>
      <w:i w:val="0"/>
      <w:sz w:val="24"/>
      <w:szCs w:val="24"/>
      <w:u w:val="none"/>
    </w:rPr>
  </w:style>
  <w:style w:type="character" w:customStyle="1" w:styleId="WW8Num5z0">
    <w:name w:val="WW8Num5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6z0">
    <w:name w:val="WW8Num6z0"/>
    <w:qFormat/>
    <w:rPr>
      <w:rFonts w:ascii="Times New Roman" w:hAnsi="Times New Roman"/>
      <w:b w:val="0"/>
      <w:i w:val="0"/>
      <w:sz w:val="20"/>
      <w:szCs w:val="20"/>
      <w:u w:val="none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9z1">
    <w:name w:val="WW8Num9z1"/>
    <w:qFormat/>
    <w:rPr>
      <w:b w:val="0"/>
    </w:rPr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ascii="Times New Roman" w:hAnsi="Times New Roman"/>
      <w:b w:val="0"/>
      <w:i w:val="0"/>
      <w:sz w:val="22"/>
      <w:szCs w:val="22"/>
      <w:u w:val="none"/>
    </w:rPr>
  </w:style>
  <w:style w:type="character" w:customStyle="1" w:styleId="WW8Num12z1">
    <w:name w:val="WW8Num12z1"/>
    <w:qFormat/>
    <w:rPr>
      <w:b w:val="0"/>
    </w:rPr>
  </w:style>
  <w:style w:type="character" w:customStyle="1" w:styleId="WW8Num13z0">
    <w:name w:val="WW8Num13z0"/>
    <w:qFormat/>
    <w:rPr>
      <w:b/>
    </w:rPr>
  </w:style>
  <w:style w:type="character" w:customStyle="1" w:styleId="WW8Num14z1">
    <w:name w:val="WW8Num14z1"/>
    <w:qFormat/>
    <w:rPr>
      <w:b w:val="0"/>
      <w:sz w:val="24"/>
      <w:szCs w:val="24"/>
    </w:rPr>
  </w:style>
  <w:style w:type="character" w:customStyle="1" w:styleId="WW8Num14z2">
    <w:name w:val="WW8Num14z2"/>
    <w:qFormat/>
    <w:rPr>
      <w:sz w:val="24"/>
      <w:szCs w:val="24"/>
    </w:rPr>
  </w:style>
  <w:style w:type="character" w:customStyle="1" w:styleId="WW8Num15z0">
    <w:name w:val="WW8Num15z0"/>
    <w:qFormat/>
    <w:rPr>
      <w:b/>
    </w:rPr>
  </w:style>
  <w:style w:type="character" w:customStyle="1" w:styleId="WW8Num17z1">
    <w:name w:val="WW8Num17z1"/>
    <w:qFormat/>
    <w:rPr>
      <w:b w:val="0"/>
    </w:rPr>
  </w:style>
  <w:style w:type="character" w:customStyle="1" w:styleId="WW8Num18z0">
    <w:name w:val="WW8Num18z0"/>
    <w:qFormat/>
    <w:rPr>
      <w:rFonts w:ascii="Times New Roman" w:hAnsi="Times New Roman"/>
      <w:b/>
      <w:i w:val="0"/>
      <w:sz w:val="22"/>
      <w:szCs w:val="22"/>
      <w:u w:val="none"/>
    </w:rPr>
  </w:style>
  <w:style w:type="character" w:customStyle="1" w:styleId="WW8Num19z0">
    <w:name w:val="WW8Num19z0"/>
    <w:qFormat/>
    <w:rPr>
      <w:b/>
    </w:rPr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styleId="a5">
    <w:name w:val="Hyperlink"/>
    <w:qFormat/>
    <w:rPr>
      <w:color w:val="0000FF"/>
      <w:u w:val="single"/>
    </w:rPr>
  </w:style>
  <w:style w:type="character" w:styleId="a6">
    <w:name w:val="FollowedHyperlink"/>
    <w:qFormat/>
    <w:rPr>
      <w:color w:val="800080"/>
      <w:u w:val="single"/>
    </w:rPr>
  </w:style>
  <w:style w:type="character" w:customStyle="1" w:styleId="20">
    <w:name w:val="Основной текст с отступом 2 Знак"/>
    <w:qFormat/>
    <w:rPr>
      <w:sz w:val="28"/>
      <w:lang w:eastAsia="ar-SA"/>
    </w:rPr>
  </w:style>
  <w:style w:type="character" w:customStyle="1" w:styleId="21">
    <w:name w:val="Основной текст 2 Знак"/>
    <w:semiHidden/>
    <w:qFormat/>
    <w:rPr>
      <w:sz w:val="28"/>
      <w:lang w:eastAsia="ar-SA"/>
    </w:rPr>
  </w:style>
  <w:style w:type="character" w:customStyle="1" w:styleId="30">
    <w:name w:val="Основной текст с отступом 3 Знак"/>
    <w:semiHidden/>
    <w:qFormat/>
    <w:rPr>
      <w:sz w:val="16"/>
      <w:szCs w:val="16"/>
      <w:lang w:eastAsia="ar-SA"/>
    </w:rPr>
  </w:style>
  <w:style w:type="character" w:customStyle="1" w:styleId="a7">
    <w:name w:val="Текст выноски Знак"/>
    <w:semiHidden/>
    <w:qFormat/>
    <w:rPr>
      <w:rFonts w:ascii="Tahoma" w:hAnsi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2"/>
      <w:szCs w:val="22"/>
      <w:u w:val="none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Wingdings" w:cs="Wingdings"/>
    </w:rPr>
  </w:style>
  <w:style w:type="character" w:customStyle="1" w:styleId="ListLabel13">
    <w:name w:val="ListLabel 13"/>
    <w:qFormat/>
    <w:rPr>
      <w:rFonts w:eastAsia="Symbol" w:cs="Symbol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Wingdings" w:cs="Wingdings"/>
    </w:rPr>
  </w:style>
  <w:style w:type="character" w:customStyle="1" w:styleId="ListLabel16">
    <w:name w:val="ListLabel 16"/>
    <w:qFormat/>
    <w:rPr>
      <w:rFonts w:eastAsia="Symbol" w:cs="Symbol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Wingdings" w:cs="Wingdings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b w:val="0"/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</w:style>
  <w:style w:type="character" w:customStyle="1" w:styleId="ListLabel36">
    <w:name w:val="ListLabel 36"/>
    <w:qFormat/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character" w:customStyle="1" w:styleId="ListLabel39">
    <w:name w:val="ListLabel 39"/>
    <w:qFormat/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character" w:customStyle="1" w:styleId="ListLabel43">
    <w:name w:val="ListLabel 43"/>
    <w:qFormat/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</w:style>
  <w:style w:type="character" w:customStyle="1" w:styleId="ListLabel48">
    <w:name w:val="ListLabel 48"/>
    <w:qFormat/>
  </w:style>
  <w:style w:type="character" w:customStyle="1" w:styleId="ListLabel49">
    <w:name w:val="ListLabel 49"/>
    <w:qFormat/>
  </w:style>
  <w:style w:type="character" w:customStyle="1" w:styleId="ListLabel50">
    <w:name w:val="ListLabel 50"/>
    <w:qFormat/>
  </w:style>
  <w:style w:type="character" w:customStyle="1" w:styleId="ListLabel51">
    <w:name w:val="ListLabel 51"/>
    <w:qFormat/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  <w:rPr>
      <w:b/>
      <w:sz w:val="24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ListLabel60">
    <w:name w:val="ListLabel 60"/>
    <w:qFormat/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  <w:rPr>
      <w:b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sz w:val="24"/>
    </w:rPr>
  </w:style>
  <w:style w:type="character" w:customStyle="1" w:styleId="ListLabel74">
    <w:name w:val="ListLabel 74"/>
    <w:qFormat/>
    <w:rPr>
      <w:b/>
      <w:sz w:val="24"/>
    </w:rPr>
  </w:style>
  <w:style w:type="character" w:customStyle="1" w:styleId="ListLabel75">
    <w:name w:val="ListLabel 75"/>
    <w:qFormat/>
    <w:rPr>
      <w:b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b/>
      <w:sz w:val="24"/>
    </w:rPr>
  </w:style>
  <w:style w:type="character" w:customStyle="1" w:styleId="ListLabel85">
    <w:name w:val="ListLabel 85"/>
    <w:qFormat/>
    <w:rPr>
      <w:b/>
      <w:sz w:val="24"/>
    </w:rPr>
  </w:style>
  <w:style w:type="paragraph" w:customStyle="1" w:styleId="a8">
    <w:name w:val="Заголовок"/>
    <w:basedOn w:val="a"/>
    <w:next w:val="a9"/>
    <w:qFormat/>
    <w:pPr>
      <w:keepNext/>
      <w:widowControl w:val="0"/>
      <w:shd w:val="clear" w:color="auto" w:fill="FFFFFF"/>
      <w:spacing w:before="240" w:after="120"/>
    </w:pPr>
    <w:rPr>
      <w:rFonts w:ascii="Arial" w:eastAsia="Arial Unicode MS" w:hAnsi="Arial"/>
      <w:szCs w:val="28"/>
      <w:lang w:eastAsia="en-US" w:bidi="en-US"/>
    </w:rPr>
  </w:style>
  <w:style w:type="paragraph" w:styleId="a9">
    <w:name w:val="Body Text"/>
    <w:basedOn w:val="a"/>
    <w:pPr>
      <w:widowControl w:val="0"/>
      <w:shd w:val="clear" w:color="auto" w:fill="FFFFFF"/>
      <w:jc w:val="both"/>
    </w:pPr>
    <w:rPr>
      <w:sz w:val="24"/>
      <w:lang w:eastAsia="en-US" w:bidi="en-US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  <w:shd w:val="clear" w:color="auto" w:fill="FFFFFF"/>
    </w:pPr>
    <w:rPr>
      <w:rFonts w:ascii="PT Astra Serif" w:hAnsi="PT Astra Serif" w:cs="Noto Sans Devanagari"/>
    </w:rPr>
  </w:style>
  <w:style w:type="paragraph" w:styleId="ad">
    <w:name w:val="List Paragraph"/>
    <w:uiPriority w:val="34"/>
    <w:qFormat/>
    <w:pPr>
      <w:ind w:left="720"/>
      <w:contextualSpacing/>
    </w:pPr>
  </w:style>
  <w:style w:type="paragraph" w:styleId="ae">
    <w:name w:val="No Spacing"/>
    <w:uiPriority w:val="1"/>
    <w:qFormat/>
  </w:style>
  <w:style w:type="paragraph" w:styleId="af">
    <w:name w:val="Title"/>
    <w:basedOn w:val="a"/>
    <w:uiPriority w:val="10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uiPriority w:val="29"/>
    <w:qFormat/>
    <w:pPr>
      <w:ind w:left="720" w:right="720"/>
    </w:pPr>
    <w:rPr>
      <w:i/>
    </w:rPr>
  </w:style>
  <w:style w:type="paragraph" w:styleId="af1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pPr>
      <w:widowControl w:val="0"/>
      <w:shd w:val="clear" w:color="auto" w:fill="FFFFFF"/>
      <w:tabs>
        <w:tab w:val="center" w:pos="4153"/>
        <w:tab w:val="right" w:pos="8306"/>
      </w:tabs>
    </w:pPr>
    <w:rPr>
      <w:sz w:val="20"/>
      <w:lang w:eastAsia="en-US" w:bidi="en-US"/>
    </w:rPr>
  </w:style>
  <w:style w:type="paragraph" w:styleId="af3">
    <w:name w:val="footer"/>
    <w:basedOn w:val="a"/>
    <w:pPr>
      <w:widowControl w:val="0"/>
      <w:shd w:val="clear" w:color="auto" w:fill="FFFFFF"/>
      <w:tabs>
        <w:tab w:val="center" w:pos="4677"/>
        <w:tab w:val="right" w:pos="9355"/>
      </w:tabs>
    </w:pPr>
    <w:rPr>
      <w:sz w:val="20"/>
      <w:lang w:eastAsia="en-US" w:bidi="en-US"/>
    </w:rPr>
  </w:style>
  <w:style w:type="paragraph" w:styleId="af4">
    <w:name w:val="footnote text"/>
    <w:basedOn w:val="a"/>
    <w:uiPriority w:val="99"/>
    <w:semiHidden/>
    <w:unhideWhenUsed/>
    <w:pPr>
      <w:shd w:val="clear" w:color="auto" w:fill="FFFFFF"/>
      <w:spacing w:after="40"/>
    </w:pPr>
    <w:rPr>
      <w:sz w:val="18"/>
    </w:rPr>
  </w:style>
  <w:style w:type="paragraph" w:styleId="11">
    <w:name w:val="toc 1"/>
    <w:basedOn w:val="a"/>
    <w:uiPriority w:val="39"/>
    <w:unhideWhenUsed/>
    <w:pPr>
      <w:shd w:val="clear" w:color="auto" w:fill="FFFFFF"/>
      <w:spacing w:after="57"/>
    </w:pPr>
  </w:style>
  <w:style w:type="paragraph" w:styleId="23">
    <w:name w:val="toc 2"/>
    <w:basedOn w:val="a"/>
    <w:uiPriority w:val="39"/>
    <w:unhideWhenUsed/>
    <w:pPr>
      <w:shd w:val="clear" w:color="auto" w:fill="FFFFFF"/>
      <w:spacing w:after="57"/>
      <w:ind w:left="283"/>
    </w:pPr>
  </w:style>
  <w:style w:type="paragraph" w:styleId="31">
    <w:name w:val="toc 3"/>
    <w:basedOn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pPr>
      <w:shd w:val="clear" w:color="auto" w:fill="FFFFFF"/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customStyle="1" w:styleId="12">
    <w:name w:val="Название1"/>
    <w:basedOn w:val="a"/>
    <w:qFormat/>
    <w:pPr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qFormat/>
  </w:style>
  <w:style w:type="paragraph" w:customStyle="1" w:styleId="14">
    <w:name w:val="Схема документа1"/>
    <w:basedOn w:val="a"/>
    <w:qFormat/>
    <w:pPr>
      <w:shd w:val="clear" w:color="auto" w:fill="000080"/>
    </w:pPr>
    <w:rPr>
      <w:rFonts w:ascii="Tahoma" w:hAnsi="Tahoma"/>
      <w:sz w:val="20"/>
    </w:rPr>
  </w:style>
  <w:style w:type="paragraph" w:customStyle="1" w:styleId="af6">
    <w:name w:val="Содержимое таблицы"/>
    <w:basedOn w:val="a"/>
    <w:qFormat/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25">
    <w:name w:val="Body Text 2"/>
    <w:basedOn w:val="a"/>
    <w:semiHidden/>
    <w:qFormat/>
    <w:pPr>
      <w:spacing w:after="120" w:line="480" w:lineRule="auto"/>
    </w:pPr>
    <w:rPr>
      <w:lang w:val="en-US"/>
    </w:rPr>
  </w:style>
  <w:style w:type="paragraph" w:styleId="32">
    <w:name w:val="Body Text Indent 3"/>
    <w:basedOn w:val="a"/>
    <w:semiHidden/>
    <w:qFormat/>
    <w:pPr>
      <w:spacing w:after="120"/>
      <w:ind w:left="283"/>
    </w:pPr>
    <w:rPr>
      <w:sz w:val="16"/>
      <w:szCs w:val="16"/>
      <w:lang w:val="en-US"/>
    </w:rPr>
  </w:style>
  <w:style w:type="paragraph" w:styleId="af8">
    <w:name w:val="Balloon Text"/>
    <w:basedOn w:val="a"/>
    <w:semiHidden/>
    <w:qFormat/>
    <w:rPr>
      <w:rFonts w:ascii="Tahoma" w:hAnsi="Tahoma"/>
      <w:sz w:val="16"/>
      <w:szCs w:val="16"/>
      <w:lang w:val="en-US"/>
    </w:rPr>
  </w:style>
  <w:style w:type="table" w:styleId="af9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cp:lastPrinted>2022-12-01T05:42:00Z</cp:lastPrinted>
  <dcterms:created xsi:type="dcterms:W3CDTF">2022-12-01T05:41:00Z</dcterms:created>
  <dcterms:modified xsi:type="dcterms:W3CDTF">2024-01-15T11:01:00Z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